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the Bible for yourself</w:t>
      </w:r>
    </w:p>
    <w:p>
      <w:pPr>
        <w:pStyle w:val="Subtitle"/>
      </w:pPr>
      <w:r>
        <w:t xml:space="preserve">Year 7 Bible · Term 4 · Lesson notes · 55 minutes</w:t>
      </w:r>
    </w:p>
    <w:p>
      <w:pPr>
        <w:pStyle w:val="BlockText"/>
      </w:pPr>
      <w:r>
        <w:t xml:space="preserve">“Your word is a lamp to my feet and a light to my path.” (Psalm 119:105)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Bible is God’s word to us. It shows us Jesus and lights up the next step of our lives, and you don’t need to be an expert to start reading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Psalm 119:105, 2 Timothy 3:14–17, with Mark 10:13–16 and Luke 15:3–7 for practice</w:t>
            </w:r>
          </w:p>
        </w:tc>
      </w:tr>
      <w:tr>
        <w:tc>
          <w:tcPr/>
          <w:p>
            <w:pPr>
              <w:pStyle w:val="Compact"/>
            </w:pPr>
            <w:r>
              <w:t xml:space="preserve">Resources</w:t>
            </w:r>
          </w:p>
        </w:tc>
        <w:tc>
          <w:tcPr/>
          <w:p>
            <w:pPr>
              <w:pStyle w:val="Compact"/>
            </w:pPr>
            <w:r>
              <w:t xml:space="preserve">Bibles (enough for one each if possible), worksheet, a small torch, a way to darken the room, sticky notes or coloured pencils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Psalm 119:105 means by calling God’s word a lamp.</w:t>
      </w:r>
    </w:p>
    <w:p>
      <w:pPr>
        <w:pStyle w:val="Compact"/>
        <w:numPr>
          <w:ilvl w:val="0"/>
          <w:numId w:val="1001"/>
        </w:numPr>
      </w:pPr>
      <w:r>
        <w:t xml:space="preserve">Understand from 2 Timothy 3:14–17 where the Bible comes from and what it is for.</w:t>
      </w:r>
    </w:p>
    <w:p>
      <w:pPr>
        <w:pStyle w:val="Compact"/>
        <w:numPr>
          <w:ilvl w:val="0"/>
          <w:numId w:val="1001"/>
        </w:numPr>
      </w:pPr>
      <w:r>
        <w:t xml:space="preserve">Practise a simple method for reading a Bible passage on your own.</w:t>
      </w:r>
    </w:p>
    <w:p>
      <w:pPr>
        <w:pStyle w:val="Heading3"/>
      </w:pPr>
      <w:r>
        <w:rPr>
          <w:bCs/>
        </w:rPr>
        <w:t xml:space="preserve">Success criteria</w:t>
      </w:r>
    </w:p>
    <w:p>
      <w:pPr>
        <w:pStyle w:val="Compact"/>
        <w:numPr>
          <w:ilvl w:val="0"/>
          <w:numId w:val="1002"/>
        </w:numPr>
      </w:pPr>
      <w:r>
        <w:t xml:space="preserve">I can explain the</w:t>
      </w:r>
      <w:r>
        <w:t xml:space="preserve"> </w:t>
      </w:r>
      <w:r>
        <w:t xml:space="preserve">“lamp”</w:t>
      </w:r>
      <w:r>
        <w:t xml:space="preserve"> </w:t>
      </w:r>
      <w:r>
        <w:t xml:space="preserve">picture in Psalm 119:105.</w:t>
      </w:r>
    </w:p>
    <w:p>
      <w:pPr>
        <w:pStyle w:val="Compact"/>
        <w:numPr>
          <w:ilvl w:val="0"/>
          <w:numId w:val="1002"/>
        </w:numPr>
      </w:pPr>
      <w:r>
        <w:t xml:space="preserve">I can name the four things Scripture is useful for in 2 Timothy 3:16.</w:t>
      </w:r>
    </w:p>
    <w:p>
      <w:pPr>
        <w:pStyle w:val="Compact"/>
        <w:numPr>
          <w:ilvl w:val="0"/>
          <w:numId w:val="1002"/>
        </w:numPr>
      </w:pPr>
      <w:r>
        <w:t xml:space="preserve">I can read a short passage using the light, question and arrow method.</w:t>
      </w:r>
    </w:p>
    <w:p>
      <w:pPr>
        <w:pStyle w:val="Heading3"/>
      </w:pPr>
      <w:r>
        <w:rPr>
          <w:bCs/>
        </w:rPr>
        <w:t xml:space="preserve">Lesson flow</w:t>
      </w:r>
    </w:p>
    <w:p>
      <w:pPr>
        <w:pStyle w:val="Compact"/>
        <w:numPr>
          <w:ilvl w:val="0"/>
          <w:numId w:val="1003"/>
        </w:numPr>
      </w:pPr>
      <w:r>
        <w:t xml:space="preserve">Hook: a lamp in the dark (7 min)</w:t>
      </w:r>
    </w:p>
    <w:p>
      <w:pPr>
        <w:pStyle w:val="Compact"/>
        <w:numPr>
          <w:ilvl w:val="0"/>
          <w:numId w:val="1003"/>
        </w:numPr>
      </w:pPr>
      <w:r>
        <w:t xml:space="preserve">Psalm 119:105: light for the next step (8 min)</w:t>
      </w:r>
    </w:p>
    <w:p>
      <w:pPr>
        <w:pStyle w:val="Compact"/>
        <w:numPr>
          <w:ilvl w:val="0"/>
          <w:numId w:val="1003"/>
        </w:numPr>
      </w:pPr>
      <w:r>
        <w:t xml:space="preserve">2 Timothy 3:14–17: why read the Bible? (15 min)</w:t>
      </w:r>
    </w:p>
    <w:p>
      <w:pPr>
        <w:pStyle w:val="Compact"/>
        <w:numPr>
          <w:ilvl w:val="0"/>
          <w:numId w:val="1003"/>
        </w:numPr>
      </w:pPr>
      <w:r>
        <w:t xml:space="preserve">How to read it: light, question, arrow (15 min)</w:t>
      </w:r>
    </w:p>
    <w:p>
      <w:pPr>
        <w:pStyle w:val="Compact"/>
        <w:numPr>
          <w:ilvl w:val="0"/>
          <w:numId w:val="1003"/>
        </w:numPr>
      </w:pPr>
      <w:r>
        <w:t xml:space="preserve">Making a plan (5 min)</w:t>
      </w:r>
    </w:p>
    <w:p>
      <w:pPr>
        <w:pStyle w:val="Compact"/>
        <w:numPr>
          <w:ilvl w:val="0"/>
          <w:numId w:val="1003"/>
        </w:numPr>
      </w:pPr>
      <w:r>
        <w:t xml:space="preserve">Wrap-up and exit ticket (5 min)</w:t>
      </w:r>
    </w:p>
    <w:bookmarkEnd w:id="9"/>
    <w:bookmarkStart w:id="10" w:name="hook-a-lamp-in-the-dark-7-min"/>
    <w:p>
      <w:pPr>
        <w:pStyle w:val="Heading2"/>
      </w:pPr>
      <w:r>
        <w:t xml:space="preserve">1. Hook: a lamp in the dark (7 min)</w:t>
      </w:r>
    </w:p>
    <w:p>
      <w:pPr>
        <w:pStyle w:val="Compact"/>
        <w:numPr>
          <w:ilvl w:val="0"/>
          <w:numId w:val="1004"/>
        </w:numPr>
      </w:pPr>
      <w:r>
        <w:t xml:space="preserve">Darken the room as much as you safely can. Switch on a small torch and point it at the floor.</w:t>
      </w:r>
    </w:p>
    <w:p>
      <w:pPr>
        <w:pStyle w:val="Compact"/>
        <w:numPr>
          <w:ilvl w:val="0"/>
          <w:numId w:val="1004"/>
        </w:numPr>
      </w:pPr>
      <w:r>
        <w:t xml:space="preserve">Ask:</w:t>
      </w:r>
      <w:r>
        <w:t xml:space="preserve"> </w:t>
      </w:r>
      <w:r>
        <w:t xml:space="preserve">“How much can you see? Could you see the whole room? Could you see where to put your next step?”</w:t>
      </w:r>
    </w:p>
    <w:p>
      <w:pPr>
        <w:pStyle w:val="Compact"/>
        <w:numPr>
          <w:ilvl w:val="0"/>
          <w:numId w:val="1004"/>
        </w:numPr>
      </w:pPr>
      <w:r>
        <w:t xml:space="preserve">Then ask students to think of a time they had to find their way in the dark (camping, a power blackout, getting up at night).</w:t>
      </w:r>
    </w:p>
    <w:p>
      <w:pPr>
        <w:pStyle w:val="Compact"/>
        <w:numPr>
          <w:ilvl w:val="0"/>
          <w:numId w:val="1004"/>
        </w:numPr>
      </w:pPr>
      <w:r>
        <w:t xml:space="preserve">Turn the lights back on and ask:</w:t>
      </w:r>
      <w:r>
        <w:t xml:space="preserve"> </w:t>
      </w:r>
      <w:r>
        <w:t xml:space="preserve">“This term we’ve talked about who God says we are and how we talk to him. But how does God talk to us?”</w:t>
      </w:r>
    </w:p>
    <w:p>
      <w:pPr>
        <w:pStyle w:val="FirstParagraph"/>
      </w:pPr>
      <w:r>
        <w:rPr>
          <w:b/>
          <w:bCs/>
        </w:rPr>
        <w:t xml:space="preserve">Teacher line:</w:t>
      </w:r>
      <w:r>
        <w:t xml:space="preserve"> </w:t>
      </w:r>
      <w:r>
        <w:t xml:space="preserve">“Prayer is us talking to God. The main way God talks to us is through the Bible. Today is about how to listen.”</w:t>
      </w:r>
    </w:p>
    <w:bookmarkEnd w:id="10"/>
    <w:bookmarkStart w:id="11" w:name="Xc66b7b7fd78c258ba8f4d727703853e66485785"/>
    <w:p>
      <w:pPr>
        <w:pStyle w:val="Heading2"/>
      </w:pPr>
      <w:r>
        <w:t xml:space="preserve">2. Psalm 119:105: light for the next step (8 min)</w:t>
      </w:r>
    </w:p>
    <w:p>
      <w:pPr>
        <w:pStyle w:val="FirstParagraph"/>
      </w:pPr>
      <w:r>
        <w:rPr>
          <w:b/>
          <w:bCs/>
        </w:rPr>
        <w:t xml:space="preserve">Introduce Psalm 119</w:t>
      </w:r>
      <w:r>
        <w:t xml:space="preserve"> </w:t>
      </w:r>
      <w:r>
        <w:t xml:space="preserve">(3 min). It is the longest psalm and the longest chapter in the Bible: 176 verses. It is an acrostic poem: it has 22 sections, one for each letter of the Hebrew alphabet. Almost every verse talks about God’s word, using words like law, commands, promises and statutes. It’s like a love song about the Bible.</w:t>
      </w:r>
    </w:p>
    <w:p>
      <w:pPr>
        <w:pStyle w:val="BlockText"/>
      </w:pPr>
      <w:r>
        <w:t xml:space="preserve">“Your word is a lamp to my feet and a light to my path.”</w:t>
      </w:r>
      <w:r>
        <w:t xml:space="preserve"> </w:t>
      </w:r>
      <w:r>
        <w:t xml:space="preserve">(Psalm 119:105)</w:t>
      </w:r>
    </w:p>
    <w:p>
      <w:pPr>
        <w:pStyle w:val="FirstParagraph"/>
      </w:pPr>
      <w:r>
        <w:rPr>
          <w:b/>
          <w:bCs/>
        </w:rPr>
        <w:t xml:space="preserve">Unpack the picture</w:t>
      </w:r>
      <w:r>
        <w:t xml:space="preserve"> </w:t>
      </w:r>
      <w:r>
        <w:t xml:space="preserve">(5 min). In Bible times there were no torches or street lights, just small clay oil lamps. A lamp lit up the ground around your feet, not the whole road.</w:t>
      </w:r>
    </w:p>
    <w:p>
      <w:pPr>
        <w:pStyle w:val="BodyText"/>
      </w:pPr>
      <w:r>
        <w:t xml:space="preserve">Ask:</w:t>
      </w:r>
    </w:p>
    <w:p>
      <w:pPr>
        <w:pStyle w:val="Compact"/>
        <w:numPr>
          <w:ilvl w:val="0"/>
          <w:numId w:val="1005"/>
        </w:numPr>
      </w:pPr>
      <w:r>
        <w:t xml:space="preserve">What does it mean that God’s word lights up our</w:t>
      </w:r>
      <w:r>
        <w:t xml:space="preserve"> </w:t>
      </w:r>
      <w:r>
        <w:rPr>
          <w:b/>
          <w:bCs/>
        </w:rPr>
        <w:t xml:space="preserve">feet</w:t>
      </w:r>
      <w:r>
        <w:t xml:space="preserve"> </w:t>
      </w:r>
      <w:r>
        <w:t xml:space="preserve">and our</w:t>
      </w:r>
      <w:r>
        <w:t xml:space="preserve"> </w:t>
      </w:r>
      <w:r>
        <w:rPr>
          <w:b/>
          <w:bCs/>
        </w:rPr>
        <w:t xml:space="preserve">path</w:t>
      </w:r>
      <w:r>
        <w:t xml:space="preserve">?</w:t>
      </w:r>
    </w:p>
    <w:p>
      <w:pPr>
        <w:pStyle w:val="Compact"/>
        <w:numPr>
          <w:ilvl w:val="0"/>
          <w:numId w:val="1005"/>
        </w:numPr>
      </w:pPr>
      <w:r>
        <w:t xml:space="preserve">Does the Bible tell us everything about our future? (No. It doesn’t tell you who to marry or what job to get. But it shows you how to take the next step God’s way, and who to trust.)</w:t>
      </w:r>
    </w:p>
    <w:p>
      <w:pPr>
        <w:pStyle w:val="FirstParagraph"/>
        <w:keepNext/>
      </w:pPr>
      <w:r>
        <w:t xml:space="preserve">Students complete</w:t>
      </w:r>
      <w:r>
        <w:t xml:space="preserve"> </w:t>
      </w:r>
      <w:r>
        <w:rPr>
          <w:b/>
          <w:bCs/>
        </w:rPr>
        <w:t xml:space="preserve">Part A</w:t>
      </w:r>
      <w:r>
        <w:t xml:space="preserve"> </w:t>
      </w:r>
      <w:r>
        <w:t xml:space="preserve">of the worksheet.</w:t>
      </w:r>
    </w:p>
    <w:bookmarkEnd w:id="11"/>
    <w:bookmarkStart w:id="15" w:name="timothy-31417-why-read-the-bible-15-min"/>
    <w:p>
      <w:pPr>
        <w:pStyle w:val="Heading2"/>
        <w:keepNext/>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12"/>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3. 2 Timothy 3:14–17: why read the Bible? (15 min)</w:t>
      </w:r>
    </w:p>
    <w:p>
      <w:pPr>
        <w:pStyle w:val="FirstParagraph"/>
      </w:pPr>
      <w:r>
        <w:rPr>
          <w:b/>
          <w:bCs/>
        </w:rPr>
        <w:t xml:space="preserve">Set the scene</w:t>
      </w:r>
      <w:r>
        <w:t xml:space="preserve"> </w:t>
      </w:r>
      <w:r>
        <w:t xml:space="preserve">(2 min). Paul is old and in prison, writing to Timothy, a young church leader he loves like a son. This is one of the last letters Paul ever wrote. Timothy had learned the Scriptures as a child from his mum Eunice and his grandma Lois (2 Timothy 1:5).</w:t>
      </w:r>
    </w:p>
    <w:p>
      <w:pPr>
        <w:pStyle w:val="BodyText"/>
      </w:pPr>
      <w:r>
        <w:rPr>
          <w:b/>
          <w:bCs/>
        </w:rPr>
        <w:t xml:space="preserve">Read 2 Timothy 3:14–17</w:t>
      </w:r>
      <w:r>
        <w:t xml:space="preserve"> </w:t>
      </w:r>
      <w:r>
        <w:t xml:space="preserve">(3 min).</w:t>
      </w:r>
    </w:p>
    <w:p>
      <w:pPr>
        <w:pStyle w:val="BlockText"/>
      </w:pPr>
      <w:r>
        <w:t xml:space="preserve">“All Scripture is God-breathed and is useful for instruction, for conviction, for correction, and for training in righteousness, so that the man of God may be complete, fully equipped for every good work.”</w:t>
      </w:r>
      <w:r>
        <w:t xml:space="preserve"> </w:t>
      </w:r>
      <w:r>
        <w:t xml:space="preserve">(2 Timothy 3:16–17)</w:t>
      </w:r>
    </w:p>
    <w:p>
      <w:pPr>
        <w:pStyle w:val="FirstParagraph"/>
      </w:pPr>
      <w:r>
        <w:rPr>
          <w:b/>
          <w:bCs/>
        </w:rPr>
        <w:t xml:space="preserve">Teaching points</w:t>
      </w:r>
      <w:r>
        <w:t xml:space="preserve"> </w:t>
      </w:r>
      <w:r>
        <w:t xml:space="preserve">(6 min). Students complete</w:t>
      </w:r>
      <w:r>
        <w:t xml:space="preserve"> </w:t>
      </w:r>
      <w:r>
        <w:rPr>
          <w:b/>
          <w:bCs/>
        </w:rPr>
        <w:t xml:space="preserve">Part B</w:t>
      </w:r>
      <w:r>
        <w:t xml:space="preserve"> </w:t>
      </w:r>
      <w:r>
        <w:t xml:space="preserve">of the worksheet as you go.</w:t>
      </w:r>
    </w:p>
    <w:p>
      <w:pPr>
        <w:pStyle w:val="Compact"/>
        <w:numPr>
          <w:ilvl w:val="0"/>
          <w:numId w:val="1006"/>
        </w:numPr>
      </w:pPr>
      <w:r>
        <w:rPr>
          <w:b/>
          <w:bCs/>
        </w:rPr>
        <w:t xml:space="preserve">Breathed out by God</w:t>
      </w:r>
      <w:r>
        <w:t xml:space="preserve"> </w:t>
      </w:r>
      <w:r>
        <w:t xml:space="preserve">(v. 16). Bibles translate this as</w:t>
      </w:r>
      <w:r>
        <w:t xml:space="preserve"> </w:t>
      </w:r>
      <w:r>
        <w:t xml:space="preserve">“God-breathed”</w:t>
      </w:r>
      <w:r>
        <w:t xml:space="preserve"> </w:t>
      </w:r>
      <w:r>
        <w:t xml:space="preserve">or</w:t>
      </w:r>
      <w:r>
        <w:t xml:space="preserve"> </w:t>
      </w:r>
      <w:r>
        <w:t xml:space="preserve">“inspired by God”</w:t>
      </w:r>
      <w:r>
        <w:t xml:space="preserve">. The Bible was written by real people, but God breathed it out through them. That’s why Christians call it God’s word.</w:t>
      </w:r>
    </w:p>
    <w:p>
      <w:pPr>
        <w:pStyle w:val="Compact"/>
        <w:numPr>
          <w:ilvl w:val="0"/>
          <w:numId w:val="1006"/>
        </w:numPr>
      </w:pPr>
      <w:r>
        <w:rPr>
          <w:b/>
          <w:bCs/>
        </w:rPr>
        <w:t xml:space="preserve">It shows the way to be saved, by trusting Jesus</w:t>
      </w:r>
      <w:r>
        <w:t xml:space="preserve"> </w:t>
      </w:r>
      <w:r>
        <w:t xml:space="preserve">(v. 15). The Bible’s main job is to show us Jesus. Remember the key verse from the start of the year: Jesus explained to his followers what all the Scriptures said about himself (Luke 24:27).</w:t>
      </w:r>
    </w:p>
    <w:p>
      <w:pPr>
        <w:pStyle w:val="Compact"/>
        <w:keepNext/>
        <w:numPr>
          <w:ilvl w:val="0"/>
          <w:numId w:val="1006"/>
        </w:numPr>
      </w:pPr>
      <w:r>
        <w:rPr>
          <w:b/>
          <w:bCs/>
        </w:rPr>
        <w:t xml:space="preserve">It is useful for four things</w:t>
      </w:r>
      <w:r>
        <w:t xml:space="preserve"> </w:t>
      </w:r>
      <w:r>
        <w:t xml:space="preserve">(v. 16). Bibles use slightly different words for them. Draw a path on the board to explain: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What Scripture is useful for</w:t>
            </w:r>
          </w:p>
        </w:tc>
        <w:tc>
          <w:tcPr/>
          <w:p>
            <w:pPr>
              <w:pStyle w:val="Compact"/>
              <w:keepNext/>
            </w:pPr>
            <w:r>
              <w:t xml:space="preserve">What it means</w:t>
            </w:r>
          </w:p>
        </w:tc>
        <w:tc>
          <w:tcPr/>
          <w:p>
            <w:pPr>
              <w:pStyle w:val="Compact"/>
              <w:keepNext/>
            </w:pPr>
            <w:r>
              <w:t xml:space="preserve">On the path</w:t>
            </w:r>
          </w:p>
        </w:tc>
      </w:tr>
      <w:tr>
        <w:tc>
          <w:tcPr/>
          <w:p>
            <w:pPr>
              <w:pStyle w:val="Compact"/>
              <w:keepNext/>
            </w:pPr>
            <w:r>
              <w:t xml:space="preserve">Teaching (or instruction)</w:t>
            </w:r>
          </w:p>
        </w:tc>
        <w:tc>
          <w:tcPr/>
          <w:p>
            <w:pPr>
              <w:pStyle w:val="Compact"/>
              <w:keepNext/>
            </w:pPr>
            <w:r>
              <w:t xml:space="preserve">Shows us what is true</w:t>
            </w:r>
          </w:p>
        </w:tc>
        <w:tc>
          <w:tcPr/>
          <w:p>
            <w:pPr>
              <w:pStyle w:val="Compact"/>
              <w:keepNext/>
            </w:pPr>
            <w:r>
              <w:t xml:space="preserve">The right road</w:t>
            </w:r>
          </w:p>
        </w:tc>
      </w:tr>
      <w:tr>
        <w:tc>
          <w:tcPr/>
          <w:p>
            <w:pPr>
              <w:pStyle w:val="Compact"/>
              <w:keepNext/>
            </w:pPr>
            <w:r>
              <w:t xml:space="preserve">Rebuking (or convicting)</w:t>
            </w:r>
          </w:p>
        </w:tc>
        <w:tc>
          <w:tcPr/>
          <w:p>
            <w:pPr>
              <w:pStyle w:val="Compact"/>
              <w:keepNext/>
            </w:pPr>
            <w:r>
              <w:t xml:space="preserve">Shows us where we’ve gone wrong</w:t>
            </w:r>
          </w:p>
        </w:tc>
        <w:tc>
          <w:tcPr/>
          <w:p>
            <w:pPr>
              <w:pStyle w:val="Compact"/>
              <w:keepNext/>
            </w:pPr>
            <w:r>
              <w:t xml:space="preserve">“You’ve left the road”</w:t>
            </w:r>
          </w:p>
        </w:tc>
      </w:tr>
      <w:tr>
        <w:tc>
          <w:tcPr/>
          <w:p>
            <w:pPr>
              <w:pStyle w:val="Compact"/>
              <w:keepNext/>
            </w:pPr>
            <w:r>
              <w:t xml:space="preserve">Correcting</w:t>
            </w:r>
          </w:p>
        </w:tc>
        <w:tc>
          <w:tcPr/>
          <w:p>
            <w:pPr>
              <w:pStyle w:val="Compact"/>
              <w:keepNext/>
            </w:pPr>
            <w:r>
              <w:t xml:space="preserve">Shows us how to get back</w:t>
            </w:r>
          </w:p>
        </w:tc>
        <w:tc>
          <w:tcPr/>
          <w:p>
            <w:pPr>
              <w:pStyle w:val="Compact"/>
              <w:keepNext/>
            </w:pPr>
            <w:r>
              <w:t xml:space="preserve">“This way back”</w:t>
            </w:r>
          </w:p>
        </w:tc>
      </w:tr>
      <w:tr>
        <w:tc>
          <w:tcPr/>
          <w:p>
            <w:pPr>
              <w:pStyle w:val="Compact"/>
            </w:pPr>
            <w:r>
              <w:t xml:space="preserve">Training in righteousness</w:t>
            </w:r>
          </w:p>
        </w:tc>
        <w:tc>
          <w:tcPr/>
          <w:p>
            <w:pPr>
              <w:pStyle w:val="Compact"/>
            </w:pPr>
            <w:r>
              <w:t xml:space="preserve">Helps us keep going the right way</w:t>
            </w:r>
          </w:p>
        </w:tc>
        <w:tc>
          <w:tcPr/>
          <w:p>
            <w:pPr>
              <w:pStyle w:val="Compact"/>
            </w:pPr>
            <w:r>
              <w:t xml:space="preserve">“Keep walking this way”</w:t>
            </w:r>
          </w:p>
        </w:tc>
      </w:tr>
    </w:tbl>
    <w:p>
      <w:pPr>
        <w:spacing w:before="0" w:after="0" w:line="200" w:lineRule="exact"/>
      </w:pPr>
    </w:p>
    <w:p>
      <w:pPr>
        <w:pStyle w:val="Compact"/>
        <w:numPr>
          <w:ilvl w:val="0"/>
          <w:numId w:val="1007"/>
        </w:numPr>
      </w:pPr>
      <w:r>
        <w:rPr>
          <w:b/>
          <w:bCs/>
        </w:rPr>
        <w:t xml:space="preserve">Ready for every good work</w:t>
      </w:r>
      <w:r>
        <w:t xml:space="preserve"> </w:t>
      </w:r>
      <w:r>
        <w:t xml:space="preserve">(v. 17). The Bible isn’t just information. It gets us ready to live God’s way.</w:t>
      </w:r>
    </w:p>
    <w:p>
      <w:pPr>
        <w:pStyle w:val="Compact"/>
        <w:numPr>
          <w:ilvl w:val="0"/>
          <w:numId w:val="1007"/>
        </w:numPr>
      </w:pPr>
      <w:r>
        <w:t xml:space="preserve">When Paul wrote this,</w:t>
      </w:r>
      <w:r>
        <w:t xml:space="preserve"> </w:t>
      </w:r>
      <w:r>
        <w:t xml:space="preserve">“Scripture”</w:t>
      </w:r>
      <w:r>
        <w:t xml:space="preserve"> </w:t>
      </w:r>
      <w:r>
        <w:t xml:space="preserve">mainly meant the Old Testament. Christians believe the New Testament writings are God’s word too; Peter even calls Paul’s letters</w:t>
      </w:r>
      <w:r>
        <w:t xml:space="preserve"> </w:t>
      </w:r>
      <w:r>
        <w:t xml:space="preserve">“Scripture”</w:t>
      </w:r>
      <w:r>
        <w:t xml:space="preserve"> </w:t>
      </w:r>
      <w:r>
        <w:t xml:space="preserve">(2 Peter 3:15–16).</w:t>
      </w:r>
    </w:p>
    <w:p>
      <w:pPr>
        <w:pStyle w:val="FirstParagraph"/>
      </w:pPr>
      <w:r>
        <w:rPr>
          <w:b/>
          <w:bCs/>
        </w:rPr>
        <w:t xml:space="preserve">Discussion questions</w:t>
      </w:r>
      <w:r>
        <w:t xml:space="preserve"> </w:t>
      </w:r>
      <w:r>
        <w:t xml:space="preserve">(4 min)</w:t>
      </w:r>
    </w:p>
    <w:p>
      <w:pPr>
        <w:pStyle w:val="Compact"/>
        <w:numPr>
          <w:ilvl w:val="0"/>
          <w:numId w:val="1008"/>
        </w:numPr>
      </w:pPr>
      <w:r>
        <w:t xml:space="preserve">Timothy started learning the Bible as a child. What helped him? Who could help you?</w:t>
      </w:r>
    </w:p>
    <w:p>
      <w:pPr>
        <w:pStyle w:val="Compact"/>
        <w:numPr>
          <w:ilvl w:val="0"/>
          <w:numId w:val="1008"/>
        </w:numPr>
      </w:pPr>
      <w:r>
        <w:t xml:space="preserve">Which of the four uses do people usually like least? Why might we need it anyway?</w:t>
      </w:r>
    </w:p>
    <w:p>
      <w:pPr>
        <w:pStyle w:val="Compact"/>
        <w:keepNext/>
        <w:numPr>
          <w:ilvl w:val="0"/>
          <w:numId w:val="1008"/>
        </w:numPr>
      </w:pPr>
      <w:r>
        <w:t xml:space="preserve">What gets in the way of people your age reading the Bible?</w:t>
      </w:r>
    </w:p>
    <w:bookmarkEnd w:id="15"/>
    <w:bookmarkStart w:id="18" w:name="Xb06af99805fe74f8ee7716e8c258d9a115258c1"/>
    <w:p>
      <w:pPr>
        <w:pStyle w:val="Heading2"/>
        <w:keepNext/>
      </w:pPr>
      <w:r>
        <w:drawing>
          <wp:inline>
            <wp:extent cx="325120" cy="292608"/>
            <wp:effectExtent b="0" l="0" r="0" t="0"/>
            <wp:docPr descr="" title="" id="16" name="Picture"/>
            <a:graphic>
              <a:graphicData uri="http://schemas.openxmlformats.org/drawingml/2006/picture">
                <pic:pic>
                  <pic:nvPicPr>
                    <pic:cNvPr descr="C:/Users/User/Documents/Mr.%20Scott%20Aus%20Website/tools/doc-icons/sec_read.png" id="17" name="Picture"/>
                    <pic:cNvPicPr>
                      <a:picLocks noChangeArrowheads="1" noChangeAspect="1"/>
                    </pic:cNvPicPr>
                  </pic:nvPicPr>
                  <pic:blipFill>
                    <a:blip r:embed="rId12"/>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4. How to read it: light, question, arrow (15 min)</w:t>
      </w:r>
    </w:p>
    <w:p>
      <w:pPr>
        <w:pStyle w:val="FirstParagraph"/>
        <w:keepNext/>
      </w:pPr>
      <w:r>
        <w:t xml:space="preserve">Teach a simple method students can use on their own. Draw three symbols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Symbol</w:t>
            </w:r>
          </w:p>
        </w:tc>
        <w:tc>
          <w:tcPr/>
          <w:p>
            <w:pPr>
              <w:pStyle w:val="Compact"/>
              <w:keepNext/>
            </w:pPr>
            <w:r>
              <w:t xml:space="preserve">Ask yourself</w:t>
            </w:r>
          </w:p>
        </w:tc>
      </w:tr>
      <w:tr>
        <w:tc>
          <w:tcPr/>
          <w:p>
            <w:pPr>
              <w:pStyle w:val="Compact"/>
              <w:keepNext/>
            </w:pPr>
            <w:r>
              <w:t xml:space="preserve">A</w:t>
            </w:r>
            <w:r>
              <w:t xml:space="preserve"> </w:t>
            </w:r>
            <w:r>
              <w:rPr>
                <w:b/>
                <w:bCs/>
              </w:rPr>
              <w:t xml:space="preserve">light bulb</w:t>
            </w:r>
          </w:p>
        </w:tc>
        <w:tc>
          <w:tcPr/>
          <w:p>
            <w:pPr>
              <w:pStyle w:val="Compact"/>
              <w:keepNext/>
            </w:pPr>
            <w:r>
              <w:t xml:space="preserve">What stands out to me? What do I learn about God or Jesus?</w:t>
            </w:r>
          </w:p>
        </w:tc>
      </w:tr>
      <w:tr>
        <w:tc>
          <w:tcPr/>
          <w:p>
            <w:pPr>
              <w:pStyle w:val="Compact"/>
              <w:keepNext/>
            </w:pPr>
            <w:r>
              <w:t xml:space="preserve">A</w:t>
            </w:r>
            <w:r>
              <w:t xml:space="preserve"> </w:t>
            </w:r>
            <w:r>
              <w:rPr>
                <w:b/>
                <w:bCs/>
              </w:rPr>
              <w:t xml:space="preserve">question mark</w:t>
            </w:r>
          </w:p>
        </w:tc>
        <w:tc>
          <w:tcPr/>
          <w:p>
            <w:pPr>
              <w:pStyle w:val="Compact"/>
              <w:keepNext/>
            </w:pPr>
            <w:r>
              <w:t xml:space="preserve">What don’t I understand, or what would I like to ask?</w:t>
            </w:r>
          </w:p>
        </w:tc>
      </w:tr>
      <w:tr>
        <w:tc>
          <w:tcPr/>
          <w:p>
            <w:pPr>
              <w:pStyle w:val="Compact"/>
            </w:pPr>
            <w:r>
              <w:t xml:space="preserve">An</w:t>
            </w:r>
            <w:r>
              <w:t xml:space="preserve"> </w:t>
            </w:r>
            <w:r>
              <w:rPr>
                <w:b/>
                <w:bCs/>
              </w:rPr>
              <w:t xml:space="preserve">arrow</w:t>
            </w:r>
          </w:p>
        </w:tc>
        <w:tc>
          <w:tcPr/>
          <w:p>
            <w:pPr>
              <w:pStyle w:val="Compact"/>
            </w:pPr>
            <w:r>
              <w:t xml:space="preserve">What could this mean for me today?</w:t>
            </w:r>
          </w:p>
        </w:tc>
      </w:tr>
    </w:tbl>
    <w:p>
      <w:pPr>
        <w:spacing w:before="0" w:after="0" w:line="200" w:lineRule="exact"/>
      </w:pPr>
    </w:p>
    <w:p>
      <w:pPr>
        <w:pStyle w:val="BodyText"/>
      </w:pPr>
      <w:r>
        <w:rPr>
          <w:b/>
          <w:bCs/>
        </w:rPr>
        <w:t xml:space="preserve">Model it</w:t>
      </w:r>
      <w:r>
        <w:t xml:space="preserve"> </w:t>
      </w:r>
      <w:r>
        <w:t xml:space="preserve">(5 min). Read Mark 10:13–16 aloud (Jesus welcomes the children). Think aloud for each symbol, for example:</w:t>
      </w:r>
    </w:p>
    <w:p>
      <w:pPr>
        <w:pStyle w:val="Compact"/>
        <w:numPr>
          <w:ilvl w:val="0"/>
          <w:numId w:val="1009"/>
        </w:numPr>
      </w:pPr>
      <w:r>
        <w:t xml:space="preserve">Light bulb: Jesus was angry when the disciples sent children away. He wants children near him.</w:t>
      </w:r>
    </w:p>
    <w:p>
      <w:pPr>
        <w:pStyle w:val="Compact"/>
        <w:numPr>
          <w:ilvl w:val="0"/>
          <w:numId w:val="1009"/>
        </w:numPr>
      </w:pPr>
      <w:r>
        <w:t xml:space="preserve">Question mark: What does it mean to receive God’s kingdom the way a little child does?</w:t>
      </w:r>
    </w:p>
    <w:p>
      <w:pPr>
        <w:pStyle w:val="Compact"/>
        <w:numPr>
          <w:ilvl w:val="0"/>
          <w:numId w:val="1009"/>
        </w:numPr>
      </w:pPr>
      <w:r>
        <w:t xml:space="preserve">Arrow: I don’t have to be grown up or have it all sorted to come to Jesus.</w:t>
      </w:r>
    </w:p>
    <w:p>
      <w:pPr>
        <w:pStyle w:val="FirstParagraph"/>
      </w:pPr>
      <w:r>
        <w:rPr>
          <w:b/>
          <w:bCs/>
        </w:rPr>
        <w:t xml:space="preserve">Your turn</w:t>
      </w:r>
      <w:r>
        <w:t xml:space="preserve"> </w:t>
      </w:r>
      <w:r>
        <w:t xml:space="preserve">(8 min). In pairs, students read Luke 15:3–7 (the lost sheep) and complete</w:t>
      </w:r>
      <w:r>
        <w:t xml:space="preserve"> </w:t>
      </w:r>
      <w:r>
        <w:rPr>
          <w:b/>
          <w:bCs/>
        </w:rPr>
        <w:t xml:space="preserve">Part C</w:t>
      </w:r>
      <w:r>
        <w:t xml:space="preserve"> </w:t>
      </w:r>
      <w:r>
        <w:t xml:space="preserve">of the worksheet using the three symbols.</w:t>
      </w:r>
    </w:p>
    <w:p>
      <w:pPr>
        <w:pStyle w:val="BodyText"/>
      </w:pPr>
      <w:r>
        <w:rPr>
          <w:b/>
          <w:bCs/>
        </w:rPr>
        <w:t xml:space="preserve">Share</w:t>
      </w:r>
      <w:r>
        <w:t xml:space="preserve"> </w:t>
      </w:r>
      <w:r>
        <w:t xml:space="preserve">(2 min). Take a few answers, especially question marks. Show that questions are a good part of reading the Bible, not a sign you’re doing it wrong.</w:t>
      </w:r>
    </w:p>
    <w:bookmarkEnd w:id="18"/>
    <w:bookmarkStart w:id="19" w:name="making-a-plan-5-min"/>
    <w:p>
      <w:pPr>
        <w:pStyle w:val="Heading2"/>
      </w:pPr>
      <w:r>
        <w:t xml:space="preserve">5. Making a plan (5 min)</w:t>
      </w:r>
    </w:p>
    <w:p>
      <w:pPr>
        <w:pStyle w:val="FirstParagraph"/>
      </w:pPr>
      <w:r>
        <w:t xml:space="preserve">Ask students what would make Bible reading realistic for them: when (before school, bedtime), where (app, paper Bible, audio Bible), how long (five minutes is a great start).</w:t>
      </w:r>
    </w:p>
    <w:p>
      <w:pPr>
        <w:pStyle w:val="BodyText"/>
      </w:pPr>
      <w:r>
        <w:t xml:space="preserve">Students fill in the reading plan in</w:t>
      </w:r>
      <w:r>
        <w:t xml:space="preserve"> </w:t>
      </w:r>
      <w:r>
        <w:rPr>
          <w:b/>
          <w:bCs/>
        </w:rPr>
        <w:t xml:space="preserve">Part D</w:t>
      </w:r>
      <w:r>
        <w:t xml:space="preserve"> </w:t>
      </w:r>
      <w:r>
        <w:t xml:space="preserve">of the worksheet: a one-week starter plan of short passages, ticking off each day they read.</w:t>
      </w:r>
    </w:p>
    <w:bookmarkEnd w:id="19"/>
    <w:bookmarkStart w:id="20" w:name="wrap-up-and-exit-ticket-5-min"/>
    <w:p>
      <w:pPr>
        <w:pStyle w:val="Heading2"/>
      </w:pPr>
      <w:r>
        <w:t xml:space="preserve">6. Wrap-up and exit ticket (5 min)</w:t>
      </w:r>
    </w:p>
    <w:p>
      <w:pPr>
        <w:pStyle w:val="FirstParagraph"/>
      </w:pPr>
      <w:r>
        <w:t xml:space="preserve">Close with a short prayer, inviting students to join in or just listen:</w:t>
      </w:r>
    </w:p>
    <w:p>
      <w:pPr>
        <w:pStyle w:val="BlockText"/>
      </w:pPr>
      <w:r>
        <w:t xml:space="preserve">God, thank you that you speak to us through the Bible. Please light up the next step for each of us this week, and help us to see Jesus when we read. Amen.</w:t>
      </w:r>
    </w:p>
    <w:bookmarkEnd w:id="20"/>
    <w:bookmarkStart w:id="21" w:name="exit-ticket"/>
    <w:p>
      <w:pPr>
        <w:pStyle w:val="Heading2"/>
      </w:pPr>
      <w:r>
        <w:t xml:space="preserve">Exit ticket</w:t>
      </w:r>
    </w:p>
    <w:p>
      <w:pPr>
        <w:pStyle w:val="Compact"/>
        <w:numPr>
          <w:ilvl w:val="0"/>
          <w:numId w:val="1010"/>
        </w:numPr>
      </w:pPr>
      <w:r>
        <w:t xml:space="preserve">What does Psalm 119:105 mean when it calls God’s word a lamp?</w:t>
      </w:r>
    </w:p>
    <w:p>
      <w:pPr>
        <w:pStyle w:val="Compact"/>
        <w:numPr>
          <w:ilvl w:val="0"/>
          <w:numId w:val="1010"/>
        </w:numPr>
      </w:pPr>
      <w:r>
        <w:t xml:space="preserve">Name the four things 2 Timothy 3:16 says Scripture is useful for.</w:t>
      </w:r>
    </w:p>
    <w:p>
      <w:pPr>
        <w:pStyle w:val="Compact"/>
        <w:numPr>
          <w:ilvl w:val="0"/>
          <w:numId w:val="1010"/>
        </w:numPr>
      </w:pPr>
      <w:r>
        <w:t xml:space="preserve">What are the three symbols for reading a passage on your own?</w:t>
      </w:r>
    </w:p>
    <w:bookmarkEnd w:id="21"/>
    <w:bookmarkStart w:id="22"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1"/>
        </w:numPr>
      </w:pPr>
      <w:r>
        <w:t xml:space="preserve">Some students have never opened a Bible by themselves. Show them how to find a book, chapter and verse using the contents page, without making a fuss.</w:t>
      </w:r>
    </w:p>
    <w:p>
      <w:pPr>
        <w:pStyle w:val="Compact"/>
        <w:numPr>
          <w:ilvl w:val="0"/>
          <w:numId w:val="1011"/>
        </w:numPr>
      </w:pPr>
      <w:r>
        <w:t xml:space="preserve">Students who aren’t Christians can practise the method as a way of reading any important text carefully. Their question marks are welcome.</w:t>
      </w:r>
    </w:p>
    <w:p>
      <w:pPr>
        <w:pStyle w:val="Compact"/>
        <w:numPr>
          <w:ilvl w:val="0"/>
          <w:numId w:val="1011"/>
        </w:numPr>
      </w:pPr>
      <w:r>
        <w:t xml:space="preserve">Have a few free Bibles or Gospel booklets available for students who don’t have one at home.</w:t>
      </w:r>
    </w:p>
    <w:p>
      <w:pPr>
        <w:pStyle w:val="Heading3"/>
      </w:pPr>
      <w:r>
        <w:rPr>
          <w:bCs/>
        </w:rPr>
        <w:t xml:space="preserve">Support and extension</w:t>
      </w:r>
    </w:p>
    <w:p>
      <w:pPr>
        <w:pStyle w:val="Compact"/>
        <w:numPr>
          <w:ilvl w:val="0"/>
          <w:numId w:val="1012"/>
        </w:numPr>
      </w:pPr>
      <w:r>
        <w:t xml:space="preserve">Support: let students use an audio Bible or a children’s Bible translation for the practice passage. For students who find reading hard, listening to the Bible counts.</w:t>
      </w:r>
    </w:p>
    <w:p>
      <w:pPr>
        <w:pStyle w:val="Compact"/>
        <w:numPr>
          <w:ilvl w:val="0"/>
          <w:numId w:val="1012"/>
        </w:numPr>
      </w:pPr>
      <w:r>
        <w:t xml:space="preserve">Extension: read the whole of Psalm 119:97–112. Find three different words the psalm uses for God’s word and three things the writer says it does.</w:t>
      </w:r>
    </w:p>
    <w:p>
      <w:pPr>
        <w:pStyle w:val="Heading3"/>
      </w:pPr>
      <w:r>
        <w:rPr>
          <w:bCs/>
        </w:rPr>
        <w:t xml:space="preserve">Pastoral care</w:t>
      </w:r>
    </w:p>
    <w:p>
      <w:pPr>
        <w:pStyle w:val="Compact"/>
        <w:numPr>
          <w:ilvl w:val="0"/>
          <w:numId w:val="1013"/>
        </w:numPr>
      </w:pPr>
      <w:r>
        <w:t xml:space="preserve">Some students may feel guilty that they don’t read the Bible. Keep the tone invitational: this is a gift to enjoy, not a test to pass.</w:t>
      </w:r>
    </w:p>
    <w:p>
      <w:pPr>
        <w:pStyle w:val="Compact"/>
        <w:numPr>
          <w:ilvl w:val="0"/>
          <w:numId w:val="1013"/>
        </w:numPr>
      </w:pPr>
      <w:r>
        <w:t xml:space="preserve">Some students may have had the Bible used against them or their family in a harsh way. Keep the focus on Jesus at the centre of the Bible, and follow up privately if a student reacts strongly.</w:t>
      </w:r>
    </w:p>
    <w:bookmarkEnd w:id="22"/>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Bible for yourself</dc:title>
  <dc:creator/>
  <cp:keywords/>
  <dcterms:created xsi:type="dcterms:W3CDTF">2026-11-05T18:06:14Z</dcterms:created>
  <dcterms:modified xsi:type="dcterms:W3CDTF">2026-11-05T18:06:14Z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